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ID w:val="0"/>
      <w:tblPr>
        <w:tblStyle w:val="PO108"/>
        <w:tblpPr w:leftFromText="1" w:topFromText="1" w:vertAnchor="text" w:tblpX="-51" w:tblpY="139"/>
        <w:tblCellMar>
          <w:left w:w="108" w:type="dxa"/>
          <w:top w:w="0" w:type="dxa"/>
          <w:right w:w="108" w:type="dxa"/>
          <w:bottom w:w="0" w:type="dxa"/>
        </w:tblCellMar>
        <w:tblW w:w="14069" w:type="dxa"/>
        <w:tblLook w:val="000620" w:firstRow="1" w:lastRow="0" w:firstColumn="0" w:lastColumn="0" w:noHBand="1" w:noVBand="1"/>
        <w:tblLayout w:type="fixed"/>
      </w:tblPr>
      <w:tblGrid>
        <w:gridCol w:w="2039"/>
        <w:gridCol w:w="2280"/>
        <w:gridCol w:w="2520"/>
        <w:gridCol w:w="2640"/>
        <w:gridCol w:w="1600"/>
        <w:gridCol w:w="1680"/>
        <w:gridCol w:w="131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404"/>
          <w:hidden w:val="0"/>
        </w:trPr>
        <w:tc>
          <w:tcPr>
            <w:tcW w:type="dxa" w:w="14069"/>
            <w:vAlign w:val="center"/>
            <w:gridSpan w:val="7"/>
            <w:shd w:val="clear" w:color="000000" w:fill="5B9BD5" w:themeFill="accent1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12" w:firstLine="0"/>
              <w:rPr>
                <w:b w:val="1"/>
                <w:color w:val="000000"/>
                <w:position w:val="0"/>
                <w:sz w:val="32"/>
                <w:szCs w:val="3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32"/>
                <w:szCs w:val="32"/>
                <w:rFonts w:ascii="宋体" w:eastAsia="宋体" w:hAnsi="宋体" w:hint="default"/>
              </w:rPr>
              <w:t>2017年海口经济学院海南省招生计划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108"/>
                <w:spacing w:val="0"/>
                <w:b w:val="0"/>
                <w:color w:val="auto"/>
                <w:position w:val="0"/>
                <w:sz w:val="21"/>
                <w:szCs w:val="21"/>
                <w:smallCaps w:val="0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rStyle w:val="PO108"/>
                <w:spacing w:val="0"/>
                <w:b w:val="0"/>
                <w:color w:val="auto"/>
                <w:position w:val="0"/>
                <w:sz w:val="21"/>
                <w:szCs w:val="21"/>
                <w:smallCaps w:val="0"/>
                <w:rFonts w:ascii="Calibri" w:eastAsia="宋体" w:hAnsi="宋体" w:hint="default"/>
              </w:rPr>
              <w:t>科类</w:t>
            </w:r>
          </w:p>
        </w:tc>
        <w:tc>
          <w:tcPr>
            <w:tcW w:type="dxa" w:w="2280"/>
            <w:vAlign w:val="center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108"/>
                <w:spacing w:val="0"/>
                <w:b w:val="0"/>
                <w:color w:val="auto"/>
                <w:position w:val="0"/>
                <w:sz w:val="21"/>
                <w:szCs w:val="21"/>
                <w:smallCaps w:val="0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rStyle w:val="PO108"/>
                <w:spacing w:val="0"/>
                <w:b w:val="0"/>
                <w:color w:val="auto"/>
                <w:position w:val="0"/>
                <w:sz w:val="21"/>
                <w:szCs w:val="21"/>
                <w:smallCaps w:val="0"/>
                <w:rFonts w:ascii="Calibri" w:eastAsia="宋体" w:hAnsi="宋体" w:hint="default"/>
              </w:rPr>
              <w:t>省份</w:t>
            </w:r>
          </w:p>
        </w:tc>
        <w:tc>
          <w:tcPr>
            <w:tcW w:type="dxa" w:w="2520"/>
            <w:vAlign w:val="center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108"/>
                <w:spacing w:val="0"/>
                <w:b w:val="0"/>
                <w:color w:val="auto"/>
                <w:position w:val="0"/>
                <w:sz w:val="21"/>
                <w:szCs w:val="21"/>
                <w:smallCaps w:val="0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rStyle w:val="PO108"/>
                <w:spacing w:val="0"/>
                <w:b w:val="0"/>
                <w:color w:val="auto"/>
                <w:position w:val="0"/>
                <w:sz w:val="21"/>
                <w:szCs w:val="21"/>
                <w:smallCaps w:val="0"/>
                <w:rFonts w:ascii="Calibri" w:eastAsia="宋体" w:hAnsi="宋体" w:hint="default"/>
              </w:rPr>
              <w:t>专业</w:t>
            </w:r>
          </w:p>
        </w:tc>
        <w:tc>
          <w:tcPr>
            <w:tcW w:type="dxa" w:w="2640"/>
            <w:vAlign w:val="center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108"/>
                <w:spacing w:val="0"/>
                <w:b w:val="0"/>
                <w:color w:val="auto"/>
                <w:position w:val="0"/>
                <w:sz w:val="21"/>
                <w:szCs w:val="21"/>
                <w:smallCaps w:val="0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rStyle w:val="PO108"/>
                <w:spacing w:val="0"/>
                <w:b w:val="0"/>
                <w:color w:val="auto"/>
                <w:position w:val="0"/>
                <w:sz w:val="21"/>
                <w:szCs w:val="21"/>
                <w:smallCaps w:val="0"/>
                <w:rFonts w:ascii="Calibri" w:eastAsia="宋体" w:hAnsi="宋体" w:hint="default"/>
              </w:rPr>
              <w:t>专业方向</w:t>
            </w:r>
          </w:p>
        </w:tc>
        <w:tc>
          <w:tcPr>
            <w:tcW w:type="dxa" w:w="1600"/>
            <w:vAlign w:val="center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108"/>
                <w:spacing w:val="0"/>
                <w:b w:val="0"/>
                <w:color w:val="auto"/>
                <w:position w:val="0"/>
                <w:sz w:val="21"/>
                <w:szCs w:val="21"/>
                <w:smallCaps w:val="0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rStyle w:val="PO108"/>
                <w:spacing w:val="0"/>
                <w:b w:val="0"/>
                <w:color w:val="auto"/>
                <w:position w:val="0"/>
                <w:sz w:val="21"/>
                <w:szCs w:val="21"/>
                <w:smallCaps w:val="0"/>
                <w:rFonts w:ascii="Calibri" w:eastAsia="宋体" w:hAnsi="宋体" w:hint="default"/>
              </w:rPr>
              <w:t>学费</w:t>
            </w:r>
          </w:p>
        </w:tc>
        <w:tc>
          <w:tcPr>
            <w:tcW w:type="dxa" w:w="1680"/>
            <w:vAlign w:val="center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108"/>
                <w:spacing w:val="0"/>
                <w:b w:val="0"/>
                <w:color w:val="auto"/>
                <w:position w:val="0"/>
                <w:sz w:val="21"/>
                <w:szCs w:val="21"/>
                <w:smallCaps w:val="0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rStyle w:val="PO108"/>
                <w:spacing w:val="0"/>
                <w:b w:val="0"/>
                <w:color w:val="auto"/>
                <w:position w:val="0"/>
                <w:sz w:val="21"/>
                <w:szCs w:val="21"/>
                <w:smallCaps w:val="0"/>
                <w:rFonts w:ascii="Calibri" w:eastAsia="宋体" w:hAnsi="宋体" w:hint="default"/>
              </w:rPr>
              <w:t>批次</w:t>
            </w:r>
          </w:p>
        </w:tc>
        <w:tc>
          <w:tcPr>
            <w:tcW w:type="dxa" w:w="1310"/>
            <w:vAlign w:val="center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计划数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经济学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金融工程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国际经济与贸易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英语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日语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朝鲜语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新闻学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与中广天择传媒公司合作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办学</w:t>
            </w: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24800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新闻学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网络新媒体（与中广天择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传媒公司合作办学）</w:t>
            </w: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17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市场营销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会计学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tabs>
                <w:tab w:val="left" w:pos="2285"/>
              </w:tabs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财务管理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人力资源管理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审计学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物流管理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电子商务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旅游管理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酒店管理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会展经济与管理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经济学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金融工程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国际经济与贸易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11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英语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日语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朝鲜语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交通运输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民航运输管理</w:t>
            </w: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新闻学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网络新媒体）</w:t>
            </w: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15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电气工程及其自动化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39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电子信息工程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50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通信工程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45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计算机科学与技术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48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计算机科学与技术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软件外包</w:t>
            </w: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35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物联网工程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43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土木工程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48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给排水科学与工程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38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交通运输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18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城乡规划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50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工程管理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53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工程造价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59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市场营销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27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会计学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7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财务管理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6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人力资源管理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14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审计学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15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物流管理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29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电子商务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30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旅游管理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酒店管理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会展经济与管理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15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体育(理)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社会体育指导与管理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52</w:t>
            </w:r>
          </w:p>
        </w:tc>
      </w:tr>
      <w:tr>
        <w:trPr>
          <w:trHeight w:hRule="atleast" w:val="346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体育(理)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休闲体育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51</w:t>
            </w:r>
          </w:p>
        </w:tc>
      </w:tr>
      <w:tr>
        <w:trPr>
          <w:trHeight w:hRule="atleast" w:val="314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艺术(文)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音乐表演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器乐（南海音乐学院）</w:t>
            </w: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本科提前批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艺术(文)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音乐表演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声乐（南海音乐学院）</w:t>
            </w: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本科提前批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艺术(文)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舞蹈学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24800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本科提前批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艺术(文)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播音与主持艺术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与中广天择传媒公司合作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办学</w:t>
            </w: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本科提前批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艺术(文)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视觉传达设计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22000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本科提前批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艺术(文)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环境设计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22000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本科提前批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艺术(文)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产品设计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22000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本科提前批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工程造价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13600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房地产经营与管理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13600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空中乘务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13600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金融管理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60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财务管理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会计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34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物流管理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旅游管理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34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旅游管理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海洋旅游生态探险</w:t>
            </w: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酒店管理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商务英语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商务英语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国际邮轮乘务</w:t>
            </w: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商务日语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11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人力资源管理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工程造价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13600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房地产经营与管理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13600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电气自动化技术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13600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60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空中乘务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13600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计算机网络技术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13600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80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移动通信技术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深圳中兴通讯合作办学</w:t>
            </w: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14800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金融管理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74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财务管理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会计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物流管理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旅游管理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旅游管理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海洋旅游生态探险</w:t>
            </w: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酒店管理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商务英语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商务英语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国际邮轮乘务</w:t>
            </w: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商务日语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理工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人力资源管理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艺术(文)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环境艺术设计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14800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专科提前批   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65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艺术(文)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影视动画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数字媒体艺术</w:t>
            </w: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14800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专科提前批   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60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艺术(文)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舞蹈表演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14800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专科提前批   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单独考试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工程造价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13600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28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单独考试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房地产经营与管理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13600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单独考试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电气自动化技术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13600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14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单独考试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空中乘务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13600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27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单独考试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计算机网络技术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13600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单独考试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移动通信技术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深圳中兴通讯合作办学</w:t>
            </w: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14800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单独考试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金融管理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36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单独考试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财务管理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24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单独考试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会计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23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单独考试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物流管理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单独考试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旅游管理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单独考试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酒店管理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18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单独考试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环境艺术设计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14800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18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单独考试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舞蹈表演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14800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单独考试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商务英语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单独考试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商务日语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单独考试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人力资源管理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12900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24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单独考试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影视动画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数字媒体艺术</w:t>
            </w: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14800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高职(专科) 批       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艺术(文)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舞蹈学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体育舞蹈</w:t>
            </w: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22000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本科提前批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24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艺术(文)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摄影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与中广天择传媒公司合作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办学</w:t>
            </w: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本科提前批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30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交通运输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民航运输管理</w:t>
            </w: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25</w:t>
            </w:r>
          </w:p>
        </w:tc>
      </w:tr>
      <w:tr>
        <w:trPr>
          <w:trHeight w:hRule="atleast" w:val="390"/>
          <w:hidden w:val="0"/>
        </w:trPr>
        <w:tc>
          <w:tcPr>
            <w:tcW w:type="dxa" w:w="20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文史</w:t>
            </w:r>
          </w:p>
        </w:tc>
        <w:tc>
          <w:tcPr>
            <w:tcW w:type="dxa" w:w="22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海南</w:t>
            </w:r>
          </w:p>
        </w:tc>
        <w:tc>
          <w:tcPr>
            <w:tcW w:type="dxa" w:w="25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交通运输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19800</w:t>
            </w:r>
          </w:p>
        </w:tc>
        <w:tc>
          <w:tcPr>
            <w:tcW w:type="dxa" w:w="16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本科B批</w:t>
            </w:r>
          </w:p>
        </w:tc>
        <w:tc>
          <w:tcPr>
            <w:tcW w:type="dxa" w:w="1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16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25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color w:val="auto"/>
          <w:position w:val="0"/>
          <w:sz w:val="21"/>
          <w:szCs w:val="21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6838" w:h="11906" w:orient="landscape"/>
      <w:pgMar w:top="1440" w:left="1440" w:bottom="12" w:right="1701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bullet"/>
      <w:start w:val="1"/>
      <w:suff w:val="tab"/>
      <w:pPr>
        <w:ind w:left="800" w:hanging="400"/>
        <w:jc w:val="both"/>
      </w:pPr>
      <w:rPr>
        <w:color w:val="000000"/>
        <w:rFonts w:ascii="Wingdings" w:eastAsia="Wingdings" w:hAnsi="Wingdings"/>
        <w:b w:val="0"/>
        <w:shd w:val="clear"/>
        <w:sz w:val="32"/>
        <w:szCs w:val="32"/>
        <w:u w:val="none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1">
    <w:multiLevelType w:val="hybridMultilevel"/>
    <w:nsid w:val="000001"/>
    <w:tmpl w:val="004823"/>
    <w:lvl w:ilvl="0">
      <w:lvlJc w:val="left"/>
      <w:numFmt w:val="bullet"/>
      <w:start w:val="1"/>
      <w:suff w:val="tab"/>
      <w:pPr>
        <w:ind w:left="800" w:hanging="400"/>
        <w:jc w:val="both"/>
      </w:pPr>
      <w:rPr>
        <w:color w:val="000000"/>
        <w:rFonts w:ascii="Wingdings" w:eastAsia="Wingdings" w:hAnsi="Wingdings"/>
        <w:b w:val="0"/>
        <w:shd w:val="clear"/>
        <w:sz w:val="22"/>
        <w:szCs w:val="22"/>
        <w:u w:val="none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2">
    <w:multiLevelType w:val="hybridMultilevel"/>
    <w:nsid w:val="000002"/>
    <w:tmpl w:val="0018BE"/>
    <w:lvl w:ilvl="0">
      <w:lvlJc w:val="left"/>
      <w:numFmt w:val="bullet"/>
      <w:start w:val="1"/>
      <w:suff w:val="tab"/>
      <w:pPr>
        <w:ind w:left="800" w:hanging="400"/>
        <w:jc w:val="both"/>
      </w:pPr>
      <w:rPr>
        <w:rFonts w:ascii="Wingdings" w:eastAsia="Wingdings" w:hAnsi="Wingdings"/>
        <w:b w:val="0"/>
        <w:shd w:val="clear"/>
        <w:sz w:val="20"/>
        <w:szCs w:val="20"/>
        <w:u w:val="none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3">
    <w:multiLevelType w:val="hybridMultilevel"/>
    <w:nsid w:val="000003"/>
    <w:tmpl w:val="006784"/>
    <w:lvl w:ilvl="0">
      <w:lvlJc w:val="left"/>
      <w:numFmt w:val="bullet"/>
      <w:start w:val="1"/>
      <w:suff w:val="tab"/>
      <w:pPr>
        <w:ind w:left="800" w:hanging="400"/>
        <w:jc w:val="both"/>
      </w:pPr>
      <w:rPr>
        <w:rFonts w:ascii="Wingdings" w:eastAsia="Wingdings" w:hAnsi="Wingdings"/>
        <w:b w:val="0"/>
        <w:shd w:val="clear"/>
        <w:sz w:val="21"/>
        <w:szCs w:val="21"/>
        <w:u w:val="none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38"/>
    <w:pPr>
      <w:autoSpaceDE w:val="1"/>
      <w:autoSpaceDN w:val="1"/>
      <w:jc w:val="both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autoSpaceDE w:val="1"/>
      <w:autoSpaceDN w:val="1"/>
      <w:jc w:val="both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>
      <w:autoSpaceDE w:val="1"/>
      <w:autoSpaceDN w:val="1"/>
      <w:jc w:val="both"/>
      <w:widowControl/>
      <w:wordWrap/>
    </w:pPr>
    <w:tblPr>
      <w:tblBorders>
        <w:bottom w:val="single" w:color="7E7E7E" w:themeColor="text1" w:themeTint="80" w:sz="4"/>
        <w:top w:val="single" w:color="7E7E7E" w:themeColor="text1" w:themeTint="80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E7E7E" w:themeColor="text1" w:themeTint="80" w:sz="4"/>
          <w:top w:val="single" w:color="7E7E7E" w:themeColor="text1" w:themeTint="80" w:sz="4"/>
        </w:tcBorders>
      </w:tcPr>
    </w:tblStylePr>
    <w:tblStylePr w:type="band1Vert">
      <w:tcPr>
        <w:tcBorders>
          <w:left w:val="single" w:color="7E7E7E" w:themeColor="text1" w:themeTint="80" w:sz="4"/>
          <w:right w:val="single" w:color="7E7E7E" w:themeColor="text1" w:themeTint="80" w:sz="4"/>
        </w:tcBorders>
      </w:tcPr>
    </w:tblStylePr>
    <w:tblStylePr w:type="band2Vert">
      <w:tcPr>
        <w:tcBorders>
          <w:left w:val="single" w:color="7E7E7E" w:themeColor="text1" w:themeTint="80" w:sz="4"/>
          <w:right w:val="single" w:color="7E7E7E" w:themeColor="text1" w:themeTint="80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E7E7E" w:themeColor="text1" w:themeTint="80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7E7E7E" w:themeColor="text1" w:themeTint="80" w:sz="4"/>
        </w:tcBorders>
      </w:tcPr>
    </w:tblStylePr>
  </w:style>
  <w:style w:styleId="PO41" w:type="table">
    <w:name w:val="Plain Table 3"/>
    <w:basedOn w:val="PO3"/>
    <w:uiPriority w:val="41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7E7E7E" w:themeColor="text1" w:themeTint="80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E7E7E" w:themeColor="text1" w:themeTint="80" w:sz="4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43" w:type="table">
    <w:name w:val="Plain Table 5"/>
    <w:basedOn w:val="PO3"/>
    <w:uiPriority w:val="43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000000" w:val="clear"/>
      </w:tcPr>
    </w:tblStylePr>
    <w:tblStylePr w:type="band1Vert">
      <w:tcPr>
        <w:shd w:fill="CCCCCC" w:themeFill="background1" w:themeFillShade="CC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themeShade="D8" w:sz="4"/>
        </w:tcBorders>
      </w:tcPr>
    </w:tblStylePr>
    <w:tblStylePr w:type="fir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themeShade="D8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themeShade="D8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autoSpaceDE w:val="1"/>
      <w:autoSpaceDN w:val="1"/>
      <w:jc w:val="both"/>
      <w:widowControl/>
      <w:wordWrap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autoSpaceDE w:val="1"/>
      <w:autoSpaceDN w:val="1"/>
      <w:jc w:val="both"/>
      <w:widowControl/>
      <w:wordWrap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autoSpaceDE w:val="1"/>
      <w:autoSpaceDN w:val="1"/>
      <w:jc w:val="both"/>
      <w:widowControl/>
      <w:wordWrap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autoSpaceDE w:val="1"/>
      <w:autoSpaceDN w:val="1"/>
      <w:jc w:val="both"/>
      <w:widowControl/>
      <w:wordWrap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autoSpaceDE w:val="1"/>
      <w:autoSpaceDN w:val="1"/>
      <w:jc w:val="both"/>
      <w:widowControl/>
      <w:wordWrap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autoSpaceDE w:val="1"/>
      <w:autoSpaceDN w:val="1"/>
      <w:jc w:val="both"/>
      <w:widowControl/>
      <w:wordWrap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autoSpaceDE w:val="1"/>
      <w:autoSpaceDN w:val="1"/>
      <w:jc w:val="both"/>
      <w:widowControl/>
      <w:wordWrap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000000" w:val="clear"/>
    </w:tcPr>
    <w:tblStylePr w:type="band1Horz">
      <w:tcPr>
        <w:shd w:fill="BDD7EE" w:themeFill="accent1" w:themeFillTint="66" w:color="000000" w:val="clear"/>
      </w:tcPr>
    </w:tblStylePr>
    <w:tblStylePr w:type="band1Vert">
      <w:tcPr>
        <w:shd w:fill="BDD7EE" w:themeFill="accen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cPr>
        <w:shd w:fill="F8CBAD" w:themeFill="accent2" w:themeFillTint="66" w:color="000000" w:val="clear"/>
      </w:tcPr>
    </w:tblStylePr>
    <w:tblStylePr w:type="band1Vert">
      <w:tcPr>
        <w:shd w:fill="F8CBAD" w:themeFill="accent2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cPr>
        <w:shd w:fill="DBDBDB" w:themeFill="accent3" w:themeFillTint="66" w:color="000000" w:val="clear"/>
      </w:tcPr>
    </w:tblStylePr>
    <w:tblStylePr w:type="band1Vert">
      <w:tcPr>
        <w:shd w:fill="DBDBDB" w:themeFill="accent3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cPr>
        <w:shd w:fill="FFE699" w:themeFill="accent4" w:themeFillTint="66" w:color="000000" w:val="clear"/>
      </w:tcPr>
    </w:tblStylePr>
    <w:tblStylePr w:type="band1Vert">
      <w:tcPr>
        <w:shd w:fill="FFE699" w:themeFill="accent4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000000" w:val="clear"/>
    </w:tcPr>
    <w:tblStylePr w:type="band1Horz">
      <w:tcPr>
        <w:shd w:fill="B4C7E7" w:themeFill="accent5" w:themeFillTint="66" w:color="000000" w:val="clear"/>
      </w:tcPr>
    </w:tblStylePr>
    <w:tblStylePr w:type="band1Vert">
      <w:tcPr>
        <w:shd w:fill="B4C7E7" w:themeFill="accent5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cPr>
        <w:shd w:fill="C5E0B4" w:themeFill="accent6" w:themeFillTint="66" w:color="000000" w:val="clear"/>
      </w:tcPr>
    </w:tblStylePr>
    <w:tblStylePr w:type="band1Vert">
      <w:tcPr>
        <w:shd w:fill="C5E0B4" w:themeFill="accent6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autoSpaceDE w:val="1"/>
      <w:autoSpaceDN w:val="1"/>
      <w:jc w:val="both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autoSpaceDE w:val="1"/>
      <w:autoSpaceDN w:val="1"/>
      <w:jc w:val="both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autoSpaceDE w:val="1"/>
      <w:autoSpaceDN w:val="1"/>
      <w:jc w:val="both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autoSpaceDE w:val="1"/>
      <w:autoSpaceDN w:val="1"/>
      <w:jc w:val="both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autoSpaceDE w:val="1"/>
      <w:autoSpaceDN w:val="1"/>
      <w:jc w:val="both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autoSpaceDE w:val="1"/>
      <w:autoSpaceDN w:val="1"/>
      <w:jc w:val="both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autoSpaceDE w:val="1"/>
      <w:autoSpaceDN w:val="1"/>
      <w:jc w:val="both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autoSpaceDE w:val="1"/>
      <w:autoSpaceDN w:val="1"/>
      <w:jc w:val="both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autoSpaceDE w:val="1"/>
      <w:autoSpaceDN w:val="1"/>
      <w:jc w:val="both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autoSpaceDE w:val="1"/>
      <w:autoSpaceDN w:val="1"/>
      <w:jc w:val="both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autoSpaceDE w:val="1"/>
      <w:autoSpaceDN w:val="1"/>
      <w:jc w:val="both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autoSpaceDE w:val="1"/>
      <w:autoSpaceDN w:val="1"/>
      <w:jc w:val="both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autoSpaceDE w:val="1"/>
      <w:autoSpaceDN w:val="1"/>
      <w:jc w:val="both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autoSpaceDE w:val="1"/>
      <w:autoSpaceDN w:val="1"/>
      <w:jc w:val="both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>
      <w:autoSpaceDE w:val="1"/>
      <w:autoSpaceDN w:val="1"/>
      <w:jc w:val="both"/>
      <w:widowControl/>
      <w:wordWrap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autoSpaceDE w:val="1"/>
      <w:autoSpaceDN w:val="1"/>
      <w:jc w:val="both"/>
      <w:widowControl/>
      <w:wordWrap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autoSpaceDE w:val="1"/>
      <w:autoSpaceDN w:val="1"/>
      <w:jc w:val="both"/>
      <w:widowControl/>
      <w:wordWrap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autoSpaceDE w:val="1"/>
      <w:autoSpaceDN w:val="1"/>
      <w:jc w:val="both"/>
      <w:widowControl/>
      <w:wordWrap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autoSpaceDE w:val="1"/>
      <w:autoSpaceDN w:val="1"/>
      <w:jc w:val="both"/>
      <w:widowControl/>
      <w:wordWrap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autoSpaceDE w:val="1"/>
      <w:autoSpaceDN w:val="1"/>
      <w:jc w:val="both"/>
      <w:widowControl/>
      <w:wordWrap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autoSpaceDE w:val="1"/>
      <w:autoSpaceDN w:val="1"/>
      <w:jc w:val="both"/>
      <w:widowControl/>
      <w:wordWrap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autoSpaceDE w:val="1"/>
      <w:autoSpaceDN w:val="1"/>
      <w:jc w:val="both"/>
      <w:widowControl/>
      <w:wordWrap/>
    </w:pPr>
    <w:rPr>
      <w:color w:val="000000" w:themeColor="text1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autoSpaceDE w:val="1"/>
      <w:autoSpaceDN w:val="1"/>
      <w:jc w:val="both"/>
      <w:widowControl/>
      <w:wordWrap/>
    </w:pPr>
    <w:rPr>
      <w:color w:val="5B9BD5" w:themeColor="accent1"/>
      <w:shd w:val="clear"/>
      <w:sz w:val="20"/>
      <w:szCs w:val="20"/>
      <w:w w:val="100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5B9BD5" w:themeColor="accent1" w:sz="4"/>
        </w:tcBorders>
      </w:tcPr>
    </w:tblStylePr>
    <w:tblStylePr w:type="lastCol"/>
    <w:tblStylePr w:type="lastRow"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autoSpaceDE w:val="1"/>
      <w:autoSpaceDN w:val="1"/>
      <w:jc w:val="both"/>
      <w:widowControl/>
      <w:wordWrap/>
    </w:pPr>
    <w:rPr>
      <w:color w:val="ED7D31" w:themeColor="accent2"/>
      <w:shd w:val="clear"/>
      <w:sz w:val="20"/>
      <w:szCs w:val="20"/>
      <w:w w:val="100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ED7D31" w:themeColor="accent2" w:sz="4"/>
        </w:tcBorders>
      </w:tcPr>
    </w:tblStylePr>
    <w:tblStylePr w:type="lastCol"/>
    <w:tblStylePr w:type="lastRow"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autoSpaceDE w:val="1"/>
      <w:autoSpaceDN w:val="1"/>
      <w:jc w:val="both"/>
      <w:widowControl/>
      <w:wordWrap/>
    </w:pPr>
    <w:rPr>
      <w:color w:val="A5A5A5" w:themeColor="accent3"/>
      <w:shd w:val="clear"/>
      <w:sz w:val="20"/>
      <w:szCs w:val="20"/>
      <w:w w:val="100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5A5A5" w:themeColor="accent3" w:sz="4"/>
        </w:tcBorders>
      </w:tcPr>
    </w:tblStylePr>
    <w:tblStylePr w:type="lastCol"/>
    <w:tblStylePr w:type="lastRow"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autoSpaceDE w:val="1"/>
      <w:autoSpaceDN w:val="1"/>
      <w:jc w:val="both"/>
      <w:widowControl/>
      <w:wordWrap/>
    </w:pPr>
    <w:rPr>
      <w:color w:val="FFC000" w:themeColor="accent4"/>
      <w:shd w:val="clear"/>
      <w:sz w:val="20"/>
      <w:szCs w:val="20"/>
      <w:w w:val="100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C000" w:themeColor="accent4" w:sz="4"/>
        </w:tcBorders>
      </w:tcPr>
    </w:tblStylePr>
    <w:tblStylePr w:type="lastCol"/>
    <w:tblStylePr w:type="lastRow"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autoSpaceDE w:val="1"/>
      <w:autoSpaceDN w:val="1"/>
      <w:jc w:val="both"/>
      <w:widowControl/>
      <w:wordWrap/>
    </w:pPr>
    <w:rPr>
      <w:color w:val="4472C4" w:themeColor="accent5"/>
      <w:shd w:val="clear"/>
      <w:sz w:val="20"/>
      <w:szCs w:val="20"/>
      <w:w w:val="100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4472C4" w:themeColor="accent5" w:sz="4"/>
        </w:tcBorders>
      </w:tcPr>
    </w:tblStylePr>
    <w:tblStylePr w:type="lastCol"/>
    <w:tblStylePr w:type="lastRow"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autoSpaceDE w:val="1"/>
      <w:autoSpaceDN w:val="1"/>
      <w:jc w:val="both"/>
      <w:widowControl/>
      <w:wordWrap/>
    </w:pPr>
    <w:rPr>
      <w:color w:val="70AD47" w:themeColor="accent6"/>
      <w:shd w:val="clear"/>
      <w:sz w:val="20"/>
      <w:szCs w:val="20"/>
      <w:w w:val="100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0AD47" w:themeColor="accent6" w:sz="4"/>
        </w:tcBorders>
      </w:tcPr>
    </w:tblStylePr>
    <w:tblStylePr w:type="lastCol"/>
    <w:tblStylePr w:type="lastRow"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autoSpaceDE w:val="1"/>
      <w:autoSpaceDN w:val="1"/>
      <w:jc w:val="both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autoSpaceDE w:val="1"/>
      <w:autoSpaceDN w:val="1"/>
      <w:jc w:val="both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autoSpaceDE w:val="1"/>
      <w:autoSpaceDN w:val="1"/>
      <w:jc w:val="both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autoSpaceDE w:val="1"/>
      <w:autoSpaceDN w:val="1"/>
      <w:jc w:val="both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autoSpaceDE w:val="1"/>
      <w:autoSpaceDN w:val="1"/>
      <w:jc w:val="both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autoSpaceDE w:val="1"/>
      <w:autoSpaceDN w:val="1"/>
      <w:jc w:val="both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autoSpaceDE w:val="1"/>
      <w:autoSpaceDN w:val="1"/>
      <w:jc w:val="both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211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